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D5135" w14:textId="1B49E34B" w:rsidR="00FE067E" w:rsidRPr="0016717E" w:rsidRDefault="003E698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CA1853D" wp14:editId="630D6E4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000E31E" w14:textId="7F7F8551" w:rsidR="003E6983" w:rsidRPr="003E6983" w:rsidRDefault="003E6983" w:rsidP="003E6983">
                            <w:pPr>
                              <w:spacing w:line="240" w:lineRule="auto"/>
                              <w:jc w:val="center"/>
                              <w:rPr>
                                <w:rFonts w:cs="Arial"/>
                                <w:b/>
                              </w:rPr>
                            </w:pPr>
                            <w:r w:rsidRPr="003E698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7CA1853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000E31E" w14:textId="7F7F8551" w:rsidR="003E6983" w:rsidRPr="003E6983" w:rsidRDefault="003E6983" w:rsidP="003E6983">
                      <w:pPr>
                        <w:spacing w:line="240" w:lineRule="auto"/>
                        <w:jc w:val="center"/>
                        <w:rPr>
                          <w:rFonts w:cs="Arial"/>
                          <w:b/>
                        </w:rPr>
                      </w:pPr>
                      <w:r w:rsidRPr="003E6983">
                        <w:rPr>
                          <w:rFonts w:cs="Arial"/>
                          <w:b/>
                        </w:rPr>
                        <w:t>FISCAL NOTE</w:t>
                      </w:r>
                    </w:p>
                  </w:txbxContent>
                </v:textbox>
              </v:shape>
            </w:pict>
          </mc:Fallback>
        </mc:AlternateContent>
      </w:r>
      <w:r w:rsidR="00CD36CF" w:rsidRPr="0016717E">
        <w:rPr>
          <w:color w:val="auto"/>
        </w:rPr>
        <w:t>WEST virginia legislature</w:t>
      </w:r>
    </w:p>
    <w:p w14:paraId="7D214E1E" w14:textId="77777777" w:rsidR="00CD36CF" w:rsidRPr="0016717E" w:rsidRDefault="00CD36CF" w:rsidP="00CC1F3B">
      <w:pPr>
        <w:pStyle w:val="TitlePageSession"/>
        <w:rPr>
          <w:color w:val="auto"/>
        </w:rPr>
      </w:pPr>
      <w:r w:rsidRPr="0016717E">
        <w:rPr>
          <w:color w:val="auto"/>
        </w:rPr>
        <w:t>20</w:t>
      </w:r>
      <w:r w:rsidR="00CB1ADC" w:rsidRPr="0016717E">
        <w:rPr>
          <w:color w:val="auto"/>
        </w:rPr>
        <w:t>2</w:t>
      </w:r>
      <w:r w:rsidR="004D36C4" w:rsidRPr="0016717E">
        <w:rPr>
          <w:color w:val="auto"/>
        </w:rPr>
        <w:t>1</w:t>
      </w:r>
      <w:r w:rsidRPr="0016717E">
        <w:rPr>
          <w:color w:val="auto"/>
        </w:rPr>
        <w:t xml:space="preserve"> regular session</w:t>
      </w:r>
    </w:p>
    <w:p w14:paraId="01BEDC5F" w14:textId="77777777" w:rsidR="00CD36CF" w:rsidRPr="0016717E" w:rsidRDefault="0077580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6717E">
            <w:rPr>
              <w:color w:val="auto"/>
            </w:rPr>
            <w:t>Introduced</w:t>
          </w:r>
        </w:sdtContent>
      </w:sdt>
    </w:p>
    <w:p w14:paraId="1218EB93" w14:textId="400F181C" w:rsidR="00CD36CF" w:rsidRPr="0016717E" w:rsidRDefault="0077580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3093D" w:rsidRPr="0016717E">
            <w:rPr>
              <w:color w:val="auto"/>
            </w:rPr>
            <w:t>Senate</w:t>
          </w:r>
        </w:sdtContent>
      </w:sdt>
      <w:r w:rsidR="00303684" w:rsidRPr="0016717E">
        <w:rPr>
          <w:color w:val="auto"/>
        </w:rPr>
        <w:t xml:space="preserve"> </w:t>
      </w:r>
      <w:r w:rsidR="00CD36CF" w:rsidRPr="0016717E">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E530FE">
            <w:rPr>
              <w:color w:val="auto"/>
            </w:rPr>
            <w:t>259</w:t>
          </w:r>
        </w:sdtContent>
      </w:sdt>
    </w:p>
    <w:p w14:paraId="61122FAF" w14:textId="7744EF03" w:rsidR="00CD36CF" w:rsidRPr="0016717E" w:rsidRDefault="00CD36CF" w:rsidP="00CC1F3B">
      <w:pPr>
        <w:pStyle w:val="Sponsors"/>
        <w:rPr>
          <w:color w:val="auto"/>
        </w:rPr>
      </w:pPr>
      <w:r w:rsidRPr="0016717E">
        <w:rPr>
          <w:color w:val="auto"/>
        </w:rPr>
        <w:t xml:space="preserve">By </w:t>
      </w:r>
      <w:sdt>
        <w:sdtPr>
          <w:rPr>
            <w:color w:val="auto"/>
          </w:rPr>
          <w:tag w:val="Sponsors"/>
          <w:id w:val="1589585889"/>
          <w:placeholder>
            <w:docPart w:val="BC6A277E70A54C5D83F0F91084EB54B0"/>
          </w:placeholder>
          <w:text w:multiLine="1"/>
        </w:sdtPr>
        <w:sdtEndPr/>
        <w:sdtContent>
          <w:r w:rsidR="00D3093D" w:rsidRPr="0016717E">
            <w:rPr>
              <w:color w:val="auto"/>
            </w:rPr>
            <w:t>Senators Baldwin, Beach, Caputo, Ihlenfeld, Jeffries, Lindsay, Plymale, Romano, Stollings, Unger, and Woelfel</w:t>
          </w:r>
        </w:sdtContent>
      </w:sdt>
    </w:p>
    <w:p w14:paraId="11BC2FC8" w14:textId="5E38D3D2" w:rsidR="00E831B3" w:rsidRPr="0016717E" w:rsidRDefault="00CD36CF" w:rsidP="00CC1F3B">
      <w:pPr>
        <w:pStyle w:val="References"/>
        <w:rPr>
          <w:color w:val="auto"/>
        </w:rPr>
      </w:pPr>
      <w:r w:rsidRPr="0016717E">
        <w:rPr>
          <w:color w:val="auto"/>
        </w:rPr>
        <w:t>[</w:t>
      </w:r>
      <w:sdt>
        <w:sdtPr>
          <w:rPr>
            <w:color w:val="auto"/>
            <w:szCs w:val="24"/>
          </w:rPr>
          <w:tag w:val="References"/>
          <w:id w:val="-1043047873"/>
          <w:placeholder>
            <w:docPart w:val="460D713500284C7FB4932CF3609CC106"/>
          </w:placeholder>
          <w:text w:multiLine="1"/>
        </w:sdtPr>
        <w:sdtEndPr/>
        <w:sdtContent>
          <w:r w:rsidR="0016717E" w:rsidRPr="00E530FE">
            <w:rPr>
              <w:color w:val="auto"/>
              <w:szCs w:val="24"/>
            </w:rPr>
            <w:t>Introduced</w:t>
          </w:r>
          <w:r w:rsidR="00E530FE" w:rsidRPr="00E530FE">
            <w:rPr>
              <w:color w:val="auto"/>
              <w:szCs w:val="24"/>
            </w:rPr>
            <w:t xml:space="preserve"> </w:t>
          </w:r>
          <w:r w:rsidR="00E530FE" w:rsidRPr="00720ADD">
            <w:rPr>
              <w:color w:val="auto"/>
              <w:szCs w:val="24"/>
            </w:rPr>
            <w:t>February 12, 2021; referred</w:t>
          </w:r>
          <w:r w:rsidR="0016717E" w:rsidRPr="00E530FE">
            <w:rPr>
              <w:color w:val="auto"/>
              <w:szCs w:val="24"/>
            </w:rPr>
            <w:br/>
            <w:t>to the Committee on</w:t>
          </w:r>
        </w:sdtContent>
      </w:sdt>
      <w:r w:rsidR="00775809">
        <w:rPr>
          <w:color w:val="auto"/>
          <w:szCs w:val="24"/>
        </w:rPr>
        <w:t xml:space="preserve"> Banking and Insurance; and then to the Committee on Finance</w:t>
      </w:r>
      <w:bookmarkStart w:id="0" w:name="_GoBack"/>
      <w:bookmarkEnd w:id="0"/>
      <w:r w:rsidRPr="0016717E">
        <w:rPr>
          <w:color w:val="auto"/>
        </w:rPr>
        <w:t>]</w:t>
      </w:r>
    </w:p>
    <w:p w14:paraId="7B81D203" w14:textId="7CE498BB" w:rsidR="00303684" w:rsidRPr="0016717E" w:rsidRDefault="0000526A" w:rsidP="00CC1F3B">
      <w:pPr>
        <w:pStyle w:val="TitleSection"/>
        <w:rPr>
          <w:color w:val="auto"/>
        </w:rPr>
      </w:pPr>
      <w:r w:rsidRPr="0016717E">
        <w:rPr>
          <w:color w:val="auto"/>
        </w:rPr>
        <w:lastRenderedPageBreak/>
        <w:t>A BILL</w:t>
      </w:r>
      <w:r w:rsidR="00D3093D" w:rsidRPr="0016717E">
        <w:rPr>
          <w:color w:val="auto"/>
        </w:rPr>
        <w:t xml:space="preserve"> to amend and reenact §5-16-2 of the Code of West Virginia, 1931, as amended; and to amend said code by adding thereto a new section, designated §5-16-6, all relating to authorizing small private employers to buy-in to PEIA; mandating that PEIA provide coverage to the employees of small, private employers and their dependents; providing that coverage for employees of a small employer is voluntary for both the employer and the employee; prohibiting refusal of coverage on the basis of past or future health care costs or claim experience; prohibiting administrative costs attributable to coverage to be paid by the </w:t>
      </w:r>
      <w:r w:rsidR="009D03BE" w:rsidRPr="0016717E">
        <w:rPr>
          <w:color w:val="auto"/>
        </w:rPr>
        <w:t>s</w:t>
      </w:r>
      <w:r w:rsidR="00D3093D" w:rsidRPr="0016717E">
        <w:rPr>
          <w:color w:val="auto"/>
        </w:rPr>
        <w:t xml:space="preserve">tate; and providing that participation does not create an employer-employee relationship with the </w:t>
      </w:r>
      <w:r w:rsidR="009D03BE" w:rsidRPr="0016717E">
        <w:rPr>
          <w:color w:val="auto"/>
        </w:rPr>
        <w:t>s</w:t>
      </w:r>
      <w:r w:rsidR="00D3093D" w:rsidRPr="0016717E">
        <w:rPr>
          <w:color w:val="auto"/>
        </w:rPr>
        <w:t>tate.</w:t>
      </w:r>
    </w:p>
    <w:p w14:paraId="45A4B0B3" w14:textId="77777777" w:rsidR="00303684" w:rsidRPr="0016717E" w:rsidRDefault="00303684" w:rsidP="00CC1F3B">
      <w:pPr>
        <w:pStyle w:val="EnactingClause"/>
        <w:rPr>
          <w:color w:val="auto"/>
        </w:rPr>
      </w:pPr>
      <w:r w:rsidRPr="0016717E">
        <w:rPr>
          <w:color w:val="auto"/>
        </w:rPr>
        <w:t>Be it enacted by the Legislature of West Virginia:</w:t>
      </w:r>
    </w:p>
    <w:p w14:paraId="294F0276" w14:textId="77777777" w:rsidR="00D3093D" w:rsidRPr="0016717E" w:rsidRDefault="00D3093D" w:rsidP="00D3093D">
      <w:pPr>
        <w:pStyle w:val="ArticleHeading"/>
        <w:rPr>
          <w:color w:val="auto"/>
        </w:rPr>
      </w:pPr>
      <w:r w:rsidRPr="0016717E">
        <w:rPr>
          <w:color w:val="auto"/>
        </w:rPr>
        <w:t>Article 16. West Virginia Public Employees Insurance Act.</w:t>
      </w:r>
    </w:p>
    <w:p w14:paraId="279710EA" w14:textId="77777777" w:rsidR="00D3093D" w:rsidRPr="0016717E" w:rsidRDefault="00D3093D" w:rsidP="00F535E9">
      <w:pPr>
        <w:pStyle w:val="SectionHeading"/>
        <w:rPr>
          <w:color w:val="auto"/>
        </w:rPr>
      </w:pPr>
      <w:r w:rsidRPr="0016717E">
        <w:rPr>
          <w:color w:val="auto"/>
        </w:rPr>
        <w:t>§5-16-2. Definitions.</w:t>
      </w:r>
    </w:p>
    <w:p w14:paraId="69709CCC" w14:textId="77777777" w:rsidR="00D3093D" w:rsidRPr="0016717E" w:rsidRDefault="00D3093D" w:rsidP="00F535E9">
      <w:pPr>
        <w:pStyle w:val="SectionHeading"/>
        <w:rPr>
          <w:color w:val="auto"/>
        </w:rPr>
        <w:sectPr w:rsidR="00D3093D" w:rsidRPr="0016717E" w:rsidSect="00AF2CE4">
          <w:headerReference w:type="default" r:id="rId8"/>
          <w:footerReference w:type="default" r:id="rId9"/>
          <w:headerReference w:type="first" r:id="rId10"/>
          <w:type w:val="continuous"/>
          <w:pgSz w:w="12240" w:h="15840"/>
          <w:pgMar w:top="1440" w:right="1440" w:bottom="1440" w:left="1440" w:header="720" w:footer="720" w:gutter="0"/>
          <w:lnNumType w:countBy="1" w:restart="continuous"/>
          <w:pgNumType w:start="0"/>
          <w:cols w:space="720"/>
          <w:titlePg/>
          <w:docGrid w:linePitch="360"/>
        </w:sectPr>
      </w:pPr>
    </w:p>
    <w:p w14:paraId="203C3C5E" w14:textId="77777777" w:rsidR="00D3093D" w:rsidRPr="0016717E" w:rsidRDefault="00D3093D" w:rsidP="00F535E9">
      <w:pPr>
        <w:pStyle w:val="SectionBody"/>
        <w:rPr>
          <w:color w:val="auto"/>
        </w:rPr>
      </w:pPr>
      <w:r w:rsidRPr="0016717E">
        <w:rPr>
          <w:color w:val="auto"/>
        </w:rPr>
        <w:t>The following words and phrases as used in this article, unless a different meaning is clearly indicated by the context, have the following meanings:</w:t>
      </w:r>
    </w:p>
    <w:p w14:paraId="41E49819" w14:textId="77777777" w:rsidR="00D3093D" w:rsidRPr="0016717E" w:rsidRDefault="00D3093D" w:rsidP="00F535E9">
      <w:pPr>
        <w:pStyle w:val="SectionBody"/>
        <w:rPr>
          <w:color w:val="auto"/>
        </w:rPr>
      </w:pPr>
      <w:r w:rsidRPr="0016717E">
        <w:rPr>
          <w:color w:val="auto"/>
        </w:rPr>
        <w:t>(1) “Agency” means the Public Employees Insurance Agency created by this article.</w:t>
      </w:r>
    </w:p>
    <w:p w14:paraId="79ABC887" w14:textId="4E557628" w:rsidR="00D3093D" w:rsidRPr="0016717E" w:rsidRDefault="00D3093D" w:rsidP="00F535E9">
      <w:pPr>
        <w:pStyle w:val="SectionBody"/>
        <w:rPr>
          <w:color w:val="auto"/>
        </w:rPr>
      </w:pPr>
      <w:r w:rsidRPr="0016717E">
        <w:rPr>
          <w:color w:val="auto"/>
        </w:rPr>
        <w:t xml:space="preserve">(2) “Director” means the </w:t>
      </w:r>
      <w:r w:rsidR="00A54FD6" w:rsidRPr="0016717E">
        <w:rPr>
          <w:color w:val="auto"/>
        </w:rPr>
        <w:t>d</w:t>
      </w:r>
      <w:r w:rsidRPr="0016717E">
        <w:rPr>
          <w:color w:val="auto"/>
        </w:rPr>
        <w:t>irector of the Public Employees Insurance Agency created by this article.</w:t>
      </w:r>
    </w:p>
    <w:p w14:paraId="4E38CDE4" w14:textId="44DC859B" w:rsidR="00D3093D" w:rsidRPr="0016717E" w:rsidRDefault="00D3093D" w:rsidP="00F535E9">
      <w:pPr>
        <w:pStyle w:val="SectionBody"/>
        <w:rPr>
          <w:color w:val="auto"/>
        </w:rPr>
      </w:pPr>
      <w:r w:rsidRPr="0016717E">
        <w:rPr>
          <w:color w:val="auto"/>
        </w:rPr>
        <w:t xml:space="preserve">(3) “Employee” means any person, including an elected officer, who works regularly full-time in the service of the State of West Virginia and, for the purpose of this article only, the term “employee” also means any person, including an elected officer, who works regularly full-time in the service of a county board of education; a public charter school established pursuant to </w:t>
      </w:r>
      <w:r w:rsidRPr="0016717E">
        <w:rPr>
          <w:rFonts w:cs="Arial"/>
          <w:color w:val="auto"/>
        </w:rPr>
        <w:t>§</w:t>
      </w:r>
      <w:r w:rsidRPr="0016717E">
        <w:rPr>
          <w:color w:val="auto"/>
        </w:rPr>
        <w:t xml:space="preserve">18-5G-1 </w:t>
      </w:r>
      <w:r w:rsidRPr="0016717E">
        <w:rPr>
          <w:i/>
          <w:color w:val="auto"/>
        </w:rPr>
        <w:t>et seq.</w:t>
      </w:r>
      <w:r w:rsidRPr="0016717E">
        <w:rPr>
          <w:color w:val="auto"/>
        </w:rPr>
        <w:t xml:space="preserve"> of this code if the charter school includes in its charter contract entered into pursuant to §18-5G-7 of this code a determination to participate in the Public Employees Insurance program; a county, city, or town in the </w:t>
      </w:r>
      <w:r w:rsidR="00A54FD6" w:rsidRPr="0016717E">
        <w:rPr>
          <w:color w:val="auto"/>
        </w:rPr>
        <w:t>s</w:t>
      </w:r>
      <w:r w:rsidRPr="0016717E">
        <w:rPr>
          <w:color w:val="auto"/>
        </w:rPr>
        <w:t xml:space="preserve">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1" w:name="_Hlk10063185"/>
      <w:r w:rsidRPr="0016717E">
        <w:rPr>
          <w:color w:val="auto"/>
        </w:rPr>
        <w:t>any comprehensive community mental health center or  intellectually and developmentally disabled facility</w:t>
      </w:r>
      <w:bookmarkEnd w:id="1"/>
      <w:r w:rsidRPr="0016717E">
        <w:rPr>
          <w:color w:val="auto"/>
        </w:rPr>
        <w:t xml:space="preserve"> established, operated, or licensed by the </w:t>
      </w:r>
      <w:r w:rsidR="00A54FD6" w:rsidRPr="0016717E">
        <w:rPr>
          <w:color w:val="auto"/>
        </w:rPr>
        <w:t>s</w:t>
      </w:r>
      <w:r w:rsidRPr="0016717E">
        <w:rPr>
          <w:color w:val="auto"/>
        </w:rPr>
        <w:t xml:space="preserve">ecretary of Health and Human Resources pursuant to </w:t>
      </w:r>
      <w:bookmarkStart w:id="2" w:name="_Hlk10063222"/>
      <w:r w:rsidRPr="0016717E">
        <w:rPr>
          <w:rFonts w:cs="Arial"/>
          <w:color w:val="auto"/>
        </w:rPr>
        <w:t>§</w:t>
      </w:r>
      <w:r w:rsidRPr="0016717E">
        <w:rPr>
          <w:color w:val="auto"/>
        </w:rPr>
        <w:t>27-2A-1 of this code</w:t>
      </w:r>
      <w:bookmarkEnd w:id="2"/>
      <w:r w:rsidRPr="0016717E">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w:t>
      </w:r>
      <w:r w:rsidRPr="0016717E">
        <w:rPr>
          <w:rFonts w:cs="Arial"/>
          <w:color w:val="auto"/>
        </w:rPr>
        <w:t>§</w:t>
      </w:r>
      <w:r w:rsidRPr="0016717E">
        <w:rPr>
          <w:color w:val="auto"/>
        </w:rPr>
        <w:t xml:space="preserve">18B-1-2 of this code; any person who works regularly full-time in the service of a combined city-county health department created pursuant to </w:t>
      </w:r>
      <w:r w:rsidRPr="0016717E">
        <w:rPr>
          <w:rFonts w:cs="Arial"/>
          <w:color w:val="auto"/>
        </w:rPr>
        <w:t>§</w:t>
      </w:r>
      <w:r w:rsidRPr="0016717E">
        <w:rPr>
          <w:color w:val="auto"/>
        </w:rPr>
        <w:t xml:space="preserve">16-2-1 </w:t>
      </w:r>
      <w:r w:rsidRPr="0016717E">
        <w:rPr>
          <w:i/>
          <w:color w:val="auto"/>
        </w:rPr>
        <w:t>et seq.</w:t>
      </w:r>
      <w:r w:rsidRPr="0016717E">
        <w:rPr>
          <w:color w:val="auto"/>
        </w:rPr>
        <w:t xml:space="preserve"> of this code; any person designated as a 21st Century Learner Fellow pursuant to </w:t>
      </w:r>
      <w:r w:rsidRPr="0016717E">
        <w:rPr>
          <w:rFonts w:cs="Arial"/>
          <w:color w:val="auto"/>
        </w:rPr>
        <w:t>§</w:t>
      </w:r>
      <w:r w:rsidRPr="0016717E">
        <w:rPr>
          <w:color w:val="auto"/>
        </w:rPr>
        <w:t xml:space="preserve">18A-3-11 of this code; and any person who works as a long-term substitute as defined in </w:t>
      </w:r>
      <w:r w:rsidRPr="0016717E">
        <w:rPr>
          <w:rFonts w:cs="Arial"/>
          <w:color w:val="auto"/>
        </w:rPr>
        <w:t>§</w:t>
      </w:r>
      <w:r w:rsidRPr="0016717E">
        <w:rPr>
          <w:color w:val="auto"/>
        </w:rPr>
        <w:t>18A-1-1 of this code in the service of a county board of education: </w:t>
      </w:r>
      <w:r w:rsidRPr="0016717E">
        <w:rPr>
          <w:i/>
          <w:iCs/>
          <w:color w:val="auto"/>
        </w:rPr>
        <w:t>Provided,</w:t>
      </w:r>
      <w:r w:rsidRPr="0016717E">
        <w:rPr>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16717E">
        <w:rPr>
          <w:i/>
          <w:iCs/>
          <w:color w:val="auto"/>
        </w:rPr>
        <w:t>Provided, however,</w:t>
      </w:r>
      <w:r w:rsidRPr="0016717E">
        <w:rPr>
          <w:color w:val="auto"/>
        </w:rPr>
        <w:t xml:space="preserve">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w:t>
      </w:r>
      <w:r w:rsidR="00A54FD6" w:rsidRPr="0016717E">
        <w:rPr>
          <w:color w:val="auto"/>
        </w:rPr>
        <w:t>p</w:t>
      </w:r>
      <w:r w:rsidRPr="0016717E">
        <w:rPr>
          <w:color w:val="auto"/>
        </w:rPr>
        <w:t xml:space="preserve">rogram pursuant to this article, any person elected to a county board of education shall be considered to be an “employee” during the term of office of the elected member. Upon election by the </w:t>
      </w:r>
      <w:r w:rsidR="00A54FD6" w:rsidRPr="0016717E">
        <w:rPr>
          <w:color w:val="auto"/>
        </w:rPr>
        <w:t>S</w:t>
      </w:r>
      <w:r w:rsidRPr="0016717E">
        <w:rPr>
          <w:color w:val="auto"/>
        </w:rPr>
        <w:t xml:space="preserve">tate Board of Education to allow appointed board members to participate in the Public Employees Insurance Program pursuant to this article, any person appointed to the </w:t>
      </w:r>
      <w:r w:rsidR="00A54FD6" w:rsidRPr="0016717E">
        <w:rPr>
          <w:color w:val="auto"/>
        </w:rPr>
        <w:t>S</w:t>
      </w:r>
      <w:r w:rsidRPr="0016717E">
        <w:rPr>
          <w:color w:val="auto"/>
        </w:rPr>
        <w:t>tate Board of Education is considered an “employee” during the term of office of the appointed member: </w:t>
      </w:r>
      <w:r w:rsidRPr="0016717E">
        <w:rPr>
          <w:i/>
          <w:iCs/>
          <w:color w:val="auto"/>
        </w:rPr>
        <w:t>Provided further,</w:t>
      </w:r>
      <w:r w:rsidRPr="0016717E">
        <w:rPr>
          <w:color w:val="auto"/>
        </w:rPr>
        <w:t xml:space="preserve"> That the elected member of a county board of education and the appointed member of the </w:t>
      </w:r>
      <w:r w:rsidR="00A54FD6" w:rsidRPr="0016717E">
        <w:rPr>
          <w:color w:val="auto"/>
        </w:rPr>
        <w:t>S</w:t>
      </w:r>
      <w:r w:rsidRPr="0016717E">
        <w:rPr>
          <w:color w:val="auto"/>
        </w:rPr>
        <w:t>tate Board of Education shall pay the entire cost of the premium if he or she elects to be covered under this article. Any matters of doubt as to who is an employee within the meaning of this article shall be decided by the director.</w:t>
      </w:r>
    </w:p>
    <w:p w14:paraId="743F7E90" w14:textId="77777777" w:rsidR="00D3093D" w:rsidRPr="0016717E" w:rsidRDefault="00D3093D" w:rsidP="00F535E9">
      <w:pPr>
        <w:pStyle w:val="SectionBody"/>
        <w:rPr>
          <w:color w:val="auto"/>
        </w:rPr>
      </w:pPr>
      <w:r w:rsidRPr="0016717E">
        <w:rPr>
          <w:color w:val="auto"/>
        </w:rPr>
        <w:t>On or after July 1, 1997, a person shall be considered an “employee” if that person meets the following criteria:</w:t>
      </w:r>
    </w:p>
    <w:p w14:paraId="42E7593E" w14:textId="77777777" w:rsidR="00D3093D" w:rsidRPr="0016717E" w:rsidRDefault="00D3093D" w:rsidP="00F535E9">
      <w:pPr>
        <w:pStyle w:val="SectionBody"/>
        <w:rPr>
          <w:color w:val="auto"/>
        </w:rPr>
      </w:pPr>
      <w:r w:rsidRPr="0016717E">
        <w:rPr>
          <w:color w:val="auto"/>
        </w:rPr>
        <w:t xml:space="preserve">(A) Participates in a job-sharing arrangement as defined in </w:t>
      </w:r>
      <w:r w:rsidRPr="0016717E">
        <w:rPr>
          <w:rFonts w:cs="Arial"/>
          <w:color w:val="auto"/>
        </w:rPr>
        <w:t>§</w:t>
      </w:r>
      <w:r w:rsidRPr="0016717E">
        <w:rPr>
          <w:color w:val="auto"/>
        </w:rPr>
        <w:t>18A-1-1 of this code;</w:t>
      </w:r>
    </w:p>
    <w:p w14:paraId="40576DF9" w14:textId="77777777" w:rsidR="00D3093D" w:rsidRPr="0016717E" w:rsidRDefault="00D3093D" w:rsidP="00F535E9">
      <w:pPr>
        <w:pStyle w:val="SectionBody"/>
        <w:rPr>
          <w:color w:val="auto"/>
        </w:rPr>
      </w:pPr>
      <w:r w:rsidRPr="0016717E">
        <w:rPr>
          <w:color w:val="auto"/>
        </w:rPr>
        <w:t>(B) Has been designated, in writing, by all other participants in that job-sharing arrangement as the “employee” for purposes of this section; and</w:t>
      </w:r>
    </w:p>
    <w:p w14:paraId="7522CA1D" w14:textId="68421764" w:rsidR="00D3093D" w:rsidRPr="0016717E" w:rsidRDefault="00D3093D" w:rsidP="00F535E9">
      <w:pPr>
        <w:pStyle w:val="SectionBody"/>
        <w:rPr>
          <w:color w:val="auto"/>
        </w:rPr>
      </w:pPr>
      <w:r w:rsidRPr="0016717E">
        <w:rPr>
          <w:color w:val="auto"/>
        </w:rPr>
        <w:t>(C) Works at least one-third of the time required for a full-time employee.</w:t>
      </w:r>
    </w:p>
    <w:p w14:paraId="154453DA" w14:textId="43E04B0C" w:rsidR="00D3093D" w:rsidRPr="0016717E" w:rsidRDefault="00D3093D" w:rsidP="00F535E9">
      <w:pPr>
        <w:pStyle w:val="SectionBody"/>
        <w:rPr>
          <w:color w:val="auto"/>
          <w:u w:val="single"/>
        </w:rPr>
      </w:pPr>
      <w:r w:rsidRPr="0016717E">
        <w:rPr>
          <w:color w:val="auto"/>
          <w:u w:val="single"/>
        </w:rPr>
        <w:t xml:space="preserve">On or after July 1, 2020, a person shall </w:t>
      </w:r>
      <w:r w:rsidR="00F958B3" w:rsidRPr="0016717E">
        <w:rPr>
          <w:color w:val="auto"/>
          <w:u w:val="single"/>
        </w:rPr>
        <w:t xml:space="preserve">also </w:t>
      </w:r>
      <w:r w:rsidRPr="0016717E">
        <w:rPr>
          <w:color w:val="auto"/>
          <w:u w:val="single"/>
        </w:rPr>
        <w:t xml:space="preserve">be considered an “employee” if the person </w:t>
      </w:r>
      <w:bookmarkStart w:id="3" w:name="_Hlk29560294"/>
      <w:r w:rsidRPr="0016717E">
        <w:rPr>
          <w:color w:val="auto"/>
          <w:u w:val="single"/>
        </w:rPr>
        <w:t>works regularly no less than 20 hours a week</w:t>
      </w:r>
      <w:bookmarkEnd w:id="3"/>
      <w:r w:rsidRPr="0016717E">
        <w:rPr>
          <w:color w:val="auto"/>
          <w:u w:val="single"/>
        </w:rPr>
        <w:t xml:space="preserve"> for a private employer that has 25 or fewer employees.</w:t>
      </w:r>
    </w:p>
    <w:p w14:paraId="4A883F2E" w14:textId="0987D529" w:rsidR="00D3093D" w:rsidRPr="0016717E" w:rsidRDefault="00473155" w:rsidP="00F535E9">
      <w:pPr>
        <w:pStyle w:val="SectionBody"/>
        <w:rPr>
          <w:color w:val="auto"/>
        </w:rPr>
      </w:pPr>
      <w:r w:rsidRPr="0016717E">
        <w:rPr>
          <w:color w:val="auto"/>
          <w:u w:val="single"/>
        </w:rPr>
        <w:t xml:space="preserve">(4) </w:t>
      </w:r>
      <w:r w:rsidR="00D3093D" w:rsidRPr="0016717E">
        <w:rPr>
          <w:color w:val="auto"/>
          <w:u w:val="single"/>
        </w:rPr>
        <w:t>“Employee organization” means an employee advocacy organization with employee members.</w:t>
      </w:r>
    </w:p>
    <w:p w14:paraId="52B0A083" w14:textId="250872EB" w:rsidR="00D3093D" w:rsidRPr="0016717E" w:rsidRDefault="00D3093D" w:rsidP="00F535E9">
      <w:pPr>
        <w:pStyle w:val="SectionBody"/>
        <w:rPr>
          <w:color w:val="auto"/>
        </w:rPr>
      </w:pPr>
      <w:r w:rsidRPr="0016717E">
        <w:rPr>
          <w:strike/>
          <w:color w:val="auto"/>
        </w:rPr>
        <w:t>(4)</w:t>
      </w:r>
      <w:r w:rsidR="00473155" w:rsidRPr="0016717E">
        <w:rPr>
          <w:color w:val="auto"/>
        </w:rPr>
        <w:t xml:space="preserve"> </w:t>
      </w:r>
      <w:r w:rsidR="00473155" w:rsidRPr="0016717E">
        <w:rPr>
          <w:color w:val="auto"/>
          <w:u w:val="single"/>
        </w:rPr>
        <w:t>(5)</w:t>
      </w:r>
      <w:r w:rsidRPr="0016717E">
        <w:rPr>
          <w:color w:val="auto"/>
        </w:rPr>
        <w:t xml:space="preserve"> “Employer” means the State of West Virginia, its boards, agencies, commissions, departments, institutions, or spending units; a county board of education; a public charter school established pursuant to </w:t>
      </w:r>
      <w:r w:rsidRPr="0016717E">
        <w:rPr>
          <w:rFonts w:cs="Arial"/>
          <w:color w:val="auto"/>
        </w:rPr>
        <w:t>§</w:t>
      </w:r>
      <w:r w:rsidRPr="0016717E">
        <w:rPr>
          <w:color w:val="auto"/>
        </w:rPr>
        <w:t xml:space="preserve">18-5G-1 </w:t>
      </w:r>
      <w:r w:rsidRPr="0016717E">
        <w:rPr>
          <w:i/>
          <w:color w:val="auto"/>
        </w:rPr>
        <w:t>et seq</w:t>
      </w:r>
      <w:r w:rsidRPr="0016717E">
        <w:rPr>
          <w:color w:val="auto"/>
        </w:rPr>
        <w:t xml:space="preserve">. of this code if the charter school includes in its charter contract entered into pursuant to §18-5G-7 of this code a determination to participate in the Public Employees Insurance </w:t>
      </w:r>
      <w:r w:rsidR="00A54FD6" w:rsidRPr="0016717E">
        <w:rPr>
          <w:color w:val="auto"/>
        </w:rPr>
        <w:t>p</w:t>
      </w:r>
      <w:r w:rsidRPr="0016717E">
        <w:rPr>
          <w:color w:val="auto"/>
        </w:rPr>
        <w:t>rogram;</w:t>
      </w:r>
      <w:r w:rsidR="00F958B3" w:rsidRPr="0016717E">
        <w:rPr>
          <w:color w:val="auto"/>
        </w:rPr>
        <w:t xml:space="preserve"> </w:t>
      </w:r>
      <w:r w:rsidRPr="0016717E">
        <w:rPr>
          <w:color w:val="auto"/>
        </w:rPr>
        <w:t xml:space="preserve">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Health and Human Resources pursuant to </w:t>
      </w:r>
      <w:r w:rsidRPr="0016717E">
        <w:rPr>
          <w:rFonts w:cs="Arial"/>
          <w:color w:val="auto"/>
        </w:rPr>
        <w:t>§</w:t>
      </w:r>
      <w:r w:rsidRPr="0016717E">
        <w:rPr>
          <w:color w:val="auto"/>
        </w:rPr>
        <w:t xml:space="preserve">27-2A-1 of this code and which is supported in part by state, county or municipal funds; a combined city-county health department created pursuant to </w:t>
      </w:r>
      <w:r w:rsidRPr="0016717E">
        <w:rPr>
          <w:rFonts w:cs="Arial"/>
          <w:color w:val="auto"/>
        </w:rPr>
        <w:t>§</w:t>
      </w:r>
      <w:r w:rsidRPr="0016717E">
        <w:rPr>
          <w:color w:val="auto"/>
        </w:rPr>
        <w:t xml:space="preserve">16-2-1 </w:t>
      </w:r>
      <w:r w:rsidRPr="0016717E">
        <w:rPr>
          <w:i/>
          <w:color w:val="auto"/>
        </w:rPr>
        <w:t>et seq.</w:t>
      </w:r>
      <w:r w:rsidRPr="0016717E">
        <w:rPr>
          <w:color w:val="auto"/>
        </w:rPr>
        <w:t xml:space="preserve"> of this code; and a corporation meeting the description set forth in </w:t>
      </w:r>
      <w:r w:rsidRPr="0016717E">
        <w:rPr>
          <w:rFonts w:cs="Arial"/>
          <w:color w:val="auto"/>
        </w:rPr>
        <w:t>§</w:t>
      </w:r>
      <w:r w:rsidRPr="0016717E">
        <w:rPr>
          <w:color w:val="auto"/>
        </w:rPr>
        <w:t xml:space="preserve">18B-12-3 of this code that is employing a 21st Century Learner Fellow pursuant to </w:t>
      </w:r>
      <w:r w:rsidRPr="0016717E">
        <w:rPr>
          <w:rFonts w:cs="Arial"/>
          <w:color w:val="auto"/>
        </w:rPr>
        <w:t>§</w:t>
      </w:r>
      <w:r w:rsidRPr="0016717E">
        <w:rPr>
          <w:color w:val="auto"/>
        </w:rPr>
        <w:t xml:space="preserve">18A-3-11 of this code but the corporation is not considered an employer with respect to any employee other than a 21st Century Learner Fellow, </w:t>
      </w:r>
      <w:r w:rsidRPr="0016717E">
        <w:rPr>
          <w:rStyle w:val="SectionBodyChar"/>
          <w:color w:val="auto"/>
          <w:u w:val="single"/>
        </w:rPr>
        <w:t xml:space="preserve">and a private employer that employs 25 or fewer persons who work regularly, no less than 20 hours a week within the state for 20 or more calendar weeks in the calendar year, not including retired employees of </w:t>
      </w:r>
      <w:r w:rsidR="00F958B3" w:rsidRPr="0016717E">
        <w:rPr>
          <w:rStyle w:val="SectionBodyChar"/>
          <w:color w:val="auto"/>
          <w:u w:val="single"/>
        </w:rPr>
        <w:t>the</w:t>
      </w:r>
      <w:r w:rsidRPr="0016717E">
        <w:rPr>
          <w:rStyle w:val="SectionBodyChar"/>
          <w:color w:val="auto"/>
          <w:u w:val="single"/>
        </w:rPr>
        <w:t xml:space="preserve"> private employer</w:t>
      </w:r>
      <w:r w:rsidRPr="0016717E">
        <w:rPr>
          <w:color w:val="auto"/>
          <w:u w:val="single"/>
        </w:rPr>
        <w:t>.</w:t>
      </w:r>
      <w:r w:rsidRPr="0016717E">
        <w:rPr>
          <w:color w:val="auto"/>
        </w:rPr>
        <w:t xml:space="preserve"> Any matters of doubt as to who is an “employer” within the meaning of this article shall be decided by the director. The term “employer” does not include within its meaning the National Guard.</w:t>
      </w:r>
    </w:p>
    <w:p w14:paraId="5D0AA3AB" w14:textId="27D76AA5" w:rsidR="00D3093D" w:rsidRPr="0016717E" w:rsidRDefault="00D3093D" w:rsidP="00F535E9">
      <w:pPr>
        <w:pStyle w:val="SectionBody"/>
        <w:rPr>
          <w:color w:val="auto"/>
        </w:rPr>
      </w:pPr>
      <w:r w:rsidRPr="0016717E">
        <w:rPr>
          <w:strike/>
          <w:color w:val="auto"/>
        </w:rPr>
        <w:t>(5)</w:t>
      </w:r>
      <w:r w:rsidR="00473155" w:rsidRPr="0016717E">
        <w:rPr>
          <w:color w:val="auto"/>
        </w:rPr>
        <w:t xml:space="preserve"> </w:t>
      </w:r>
      <w:r w:rsidR="00473155" w:rsidRPr="0016717E">
        <w:rPr>
          <w:color w:val="auto"/>
          <w:u w:val="single"/>
        </w:rPr>
        <w:t>(6)</w:t>
      </w:r>
      <w:r w:rsidRPr="0016717E">
        <w:rPr>
          <w:color w:val="auto"/>
        </w:rPr>
        <w:t xml:space="preserve"> “Finance board” means the Public Employees Insurance Agency finance board created by this article.</w:t>
      </w:r>
    </w:p>
    <w:p w14:paraId="7C35CE67" w14:textId="6B28A441" w:rsidR="00D3093D" w:rsidRPr="0016717E" w:rsidRDefault="00D3093D" w:rsidP="00F535E9">
      <w:pPr>
        <w:pStyle w:val="SectionBody"/>
        <w:rPr>
          <w:color w:val="auto"/>
        </w:rPr>
      </w:pPr>
      <w:r w:rsidRPr="0016717E">
        <w:rPr>
          <w:strike/>
          <w:color w:val="auto"/>
        </w:rPr>
        <w:t>(6)</w:t>
      </w:r>
      <w:r w:rsidR="00473155" w:rsidRPr="0016717E">
        <w:rPr>
          <w:color w:val="auto"/>
        </w:rPr>
        <w:t xml:space="preserve"> </w:t>
      </w:r>
      <w:r w:rsidR="00473155" w:rsidRPr="0016717E">
        <w:rPr>
          <w:color w:val="auto"/>
          <w:u w:val="single"/>
        </w:rPr>
        <w:t>(7)</w:t>
      </w:r>
      <w:r w:rsidR="00473155" w:rsidRPr="0016717E">
        <w:rPr>
          <w:color w:val="auto"/>
        </w:rPr>
        <w:t xml:space="preserve"> “P</w:t>
      </w:r>
      <w:r w:rsidRPr="0016717E">
        <w:rPr>
          <w:color w:val="auto"/>
        </w:rPr>
        <w:t>erson” means any individual, company, association, organization, corporation or other legal entity, including, but not limited to, hospital, medical or dental service corporations; health maintenance organizations or similar organization providing prepaid health benefits; or individuals entitled to benefits under the provisions of this article.</w:t>
      </w:r>
    </w:p>
    <w:p w14:paraId="373C4C37" w14:textId="1D52AFE7" w:rsidR="00D3093D" w:rsidRPr="0016717E" w:rsidRDefault="00D3093D" w:rsidP="00F535E9">
      <w:pPr>
        <w:pStyle w:val="SectionBody"/>
        <w:rPr>
          <w:color w:val="auto"/>
        </w:rPr>
      </w:pPr>
      <w:r w:rsidRPr="0016717E">
        <w:rPr>
          <w:strike/>
          <w:color w:val="auto"/>
        </w:rPr>
        <w:t>(7)</w:t>
      </w:r>
      <w:r w:rsidR="00473155" w:rsidRPr="0016717E">
        <w:rPr>
          <w:color w:val="auto"/>
        </w:rPr>
        <w:t xml:space="preserve"> </w:t>
      </w:r>
      <w:r w:rsidR="00473155" w:rsidRPr="0016717E">
        <w:rPr>
          <w:color w:val="auto"/>
          <w:u w:val="single"/>
        </w:rPr>
        <w:t>(8)</w:t>
      </w:r>
      <w:r w:rsidRPr="0016717E">
        <w:rPr>
          <w:color w:val="auto"/>
        </w:rPr>
        <w:t xml:space="preserve"> “Plan”, unless the context indicates otherwise, means the medical indemnity plan, the managed care plan option, or the group life insurance plan offered by the agency.</w:t>
      </w:r>
    </w:p>
    <w:p w14:paraId="1F44AB21" w14:textId="093D20F8" w:rsidR="00D3093D" w:rsidRPr="0016717E" w:rsidRDefault="00D3093D" w:rsidP="00F535E9">
      <w:pPr>
        <w:pStyle w:val="SectionBody"/>
        <w:rPr>
          <w:color w:val="auto"/>
        </w:rPr>
      </w:pPr>
      <w:r w:rsidRPr="0016717E">
        <w:rPr>
          <w:strike/>
          <w:color w:val="auto"/>
        </w:rPr>
        <w:t>(8)</w:t>
      </w:r>
      <w:r w:rsidR="00473155" w:rsidRPr="0016717E">
        <w:rPr>
          <w:color w:val="auto"/>
        </w:rPr>
        <w:t xml:space="preserve"> </w:t>
      </w:r>
      <w:r w:rsidR="00473155" w:rsidRPr="0016717E">
        <w:rPr>
          <w:color w:val="auto"/>
          <w:u w:val="single"/>
        </w:rPr>
        <w:t>(9)</w:t>
      </w:r>
      <w:r w:rsidRPr="0016717E">
        <w:rPr>
          <w:color w:val="auto"/>
        </w:rPr>
        <w:t xml:space="preserve"> “Retired employee” means an employee of the </w:t>
      </w:r>
      <w:r w:rsidR="00E742A7" w:rsidRPr="0016717E">
        <w:rPr>
          <w:color w:val="auto"/>
        </w:rPr>
        <w:t>S</w:t>
      </w:r>
      <w:r w:rsidRPr="0016717E">
        <w:rPr>
          <w:color w:val="auto"/>
        </w:rPr>
        <w:t>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w:t>
      </w:r>
      <w:r w:rsidR="00F958B3" w:rsidRPr="0016717E">
        <w:rPr>
          <w:color w:val="auto"/>
        </w:rPr>
        <w:t>,</w:t>
      </w:r>
      <w:r w:rsidRPr="0016717E">
        <w:rPr>
          <w:color w:val="auto"/>
        </w:rPr>
        <w:t xml:space="preserve"> and whose last employer immediately prior to retirement under the state retirement system is a participating employer in the state retirement system and in the Public Employees Insurance Agency: </w:t>
      </w:r>
      <w:r w:rsidRPr="0016717E">
        <w:rPr>
          <w:i/>
          <w:iCs/>
          <w:color w:val="auto"/>
        </w:rPr>
        <w:t>Provided,</w:t>
      </w:r>
      <w:r w:rsidRPr="0016717E">
        <w:rPr>
          <w:color w:val="auto"/>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16717E">
        <w:rPr>
          <w:i/>
          <w:color w:val="auto"/>
        </w:rPr>
        <w:t>et seq.</w:t>
      </w:r>
      <w:r w:rsidRPr="0016717E">
        <w:rPr>
          <w:color w:val="auto"/>
        </w:rPr>
        <w:t xml:space="preserve">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579B6D2D" w14:textId="67724578" w:rsidR="00D3093D" w:rsidRPr="0016717E" w:rsidRDefault="00473155" w:rsidP="00F535E9">
      <w:pPr>
        <w:pStyle w:val="SectionBody"/>
        <w:rPr>
          <w:color w:val="auto"/>
        </w:rPr>
      </w:pPr>
      <w:r w:rsidRPr="0016717E">
        <w:rPr>
          <w:rStyle w:val="SectionBodyChar"/>
          <w:color w:val="auto"/>
          <w:u w:val="single"/>
        </w:rPr>
        <w:t xml:space="preserve">(10) </w:t>
      </w:r>
      <w:r w:rsidR="00D3093D" w:rsidRPr="0016717E">
        <w:rPr>
          <w:rStyle w:val="SectionBodyChar"/>
          <w:color w:val="auto"/>
          <w:u w:val="single"/>
        </w:rPr>
        <w:t>“Small employer” means a</w:t>
      </w:r>
      <w:r w:rsidR="00D3093D" w:rsidRPr="0016717E">
        <w:rPr>
          <w:color w:val="auto"/>
          <w:u w:val="single"/>
        </w:rPr>
        <w:t xml:space="preserve"> private business or corporation, based and duly licensed in the</w:t>
      </w:r>
      <w:r w:rsidR="0016717E" w:rsidRPr="0016717E">
        <w:rPr>
          <w:color w:val="auto"/>
          <w:u w:val="single"/>
        </w:rPr>
        <w:t xml:space="preserve"> s</w:t>
      </w:r>
      <w:r w:rsidR="00D3093D" w:rsidRPr="0016717E">
        <w:rPr>
          <w:color w:val="auto"/>
          <w:u w:val="single"/>
        </w:rPr>
        <w:t>tate of West Virginia, that is fully compliant with any statutory requirements to conduct business in the state, and is current with any applicable filings with the state and its political subdivisions.</w:t>
      </w:r>
    </w:p>
    <w:p w14:paraId="17A44797" w14:textId="77777777" w:rsidR="00D3093D" w:rsidRPr="0016717E" w:rsidRDefault="00D3093D" w:rsidP="00D3093D">
      <w:pPr>
        <w:pStyle w:val="SectionHeading"/>
        <w:rPr>
          <w:color w:val="auto"/>
          <w:u w:val="single"/>
        </w:rPr>
      </w:pPr>
      <w:r w:rsidRPr="0016717E">
        <w:rPr>
          <w:rStyle w:val="SectionHeadingChar"/>
          <w:b/>
          <w:color w:val="auto"/>
        </w:rPr>
        <w:t>§</w:t>
      </w:r>
      <w:r w:rsidRPr="0016717E">
        <w:rPr>
          <w:rStyle w:val="SectionHeadingChar"/>
          <w:b/>
          <w:color w:val="auto"/>
          <w:u w:val="single"/>
        </w:rPr>
        <w:t>5-16-6. Authorizing participation by small private employers</w:t>
      </w:r>
      <w:r w:rsidRPr="0016717E">
        <w:rPr>
          <w:color w:val="auto"/>
          <w:u w:val="single"/>
        </w:rPr>
        <w:t xml:space="preserve">. </w:t>
      </w:r>
    </w:p>
    <w:p w14:paraId="145B36B6" w14:textId="77777777" w:rsidR="00D3093D" w:rsidRPr="0016717E" w:rsidRDefault="00D3093D" w:rsidP="00D3093D">
      <w:pPr>
        <w:pStyle w:val="SectionBody"/>
        <w:rPr>
          <w:color w:val="auto"/>
          <w:u w:val="single"/>
        </w:rPr>
        <w:sectPr w:rsidR="00D3093D" w:rsidRPr="0016717E" w:rsidSect="00A669DC">
          <w:type w:val="continuous"/>
          <w:pgSz w:w="12240" w:h="15840"/>
          <w:pgMar w:top="1440" w:right="1440" w:bottom="1440" w:left="1440" w:header="720" w:footer="720" w:gutter="0"/>
          <w:lnNumType w:countBy="1" w:restart="newSection"/>
          <w:cols w:space="720"/>
          <w:noEndnote/>
          <w:docGrid w:linePitch="326"/>
        </w:sectPr>
      </w:pPr>
    </w:p>
    <w:p w14:paraId="0A4EA934" w14:textId="6D91B1FA" w:rsidR="00D3093D" w:rsidRPr="0016717E" w:rsidRDefault="00D3093D" w:rsidP="00D3093D">
      <w:pPr>
        <w:pStyle w:val="SectionBody"/>
        <w:rPr>
          <w:color w:val="auto"/>
          <w:u w:val="single"/>
        </w:rPr>
      </w:pPr>
      <w:r w:rsidRPr="0016717E">
        <w:rPr>
          <w:color w:val="auto"/>
          <w:u w:val="single"/>
        </w:rPr>
        <w:t>(a) Notwithstanding any provisions of this article to the contrary, the agency shall provide for coverage of employees of small employers and dependents of such employees under the group hospitalization and medical and surgical insurance plan or plans procured under this article subject to the following conditions:</w:t>
      </w:r>
    </w:p>
    <w:p w14:paraId="06BDF581" w14:textId="77777777" w:rsidR="00D3093D" w:rsidRPr="0016717E" w:rsidRDefault="00D3093D" w:rsidP="00D3093D">
      <w:pPr>
        <w:pStyle w:val="SectionBody"/>
        <w:rPr>
          <w:color w:val="auto"/>
          <w:u w:val="single"/>
        </w:rPr>
      </w:pPr>
      <w:r w:rsidRPr="0016717E">
        <w:rPr>
          <w:color w:val="auto"/>
          <w:u w:val="single"/>
        </w:rPr>
        <w:t xml:space="preserve">(1) Participation by each small employer and employee shall be on a voluntary basis; </w:t>
      </w:r>
    </w:p>
    <w:p w14:paraId="407FFF86" w14:textId="77777777" w:rsidR="00D3093D" w:rsidRPr="0016717E" w:rsidRDefault="00D3093D" w:rsidP="00D3093D">
      <w:pPr>
        <w:pStyle w:val="SectionBody"/>
        <w:rPr>
          <w:color w:val="auto"/>
          <w:u w:val="single"/>
        </w:rPr>
      </w:pPr>
      <w:r w:rsidRPr="0016717E">
        <w:rPr>
          <w:color w:val="auto"/>
          <w:u w:val="single"/>
        </w:rPr>
        <w:t xml:space="preserve">(2) Where an employee organization represents employees of a small employer, participation in such plan or plans to be procured under said subsection shall be by mutual agreement of the small employer and the employee organization only and neither party may submit the issue of participation to binding arbitration except by mutual agreement if such binding arbitration is available; </w:t>
      </w:r>
    </w:p>
    <w:p w14:paraId="097A9139" w14:textId="77777777" w:rsidR="00D3093D" w:rsidRPr="0016717E" w:rsidRDefault="00D3093D" w:rsidP="00D3093D">
      <w:pPr>
        <w:pStyle w:val="SectionBody"/>
        <w:rPr>
          <w:color w:val="auto"/>
          <w:u w:val="single"/>
        </w:rPr>
      </w:pPr>
      <w:r w:rsidRPr="0016717E">
        <w:rPr>
          <w:color w:val="auto"/>
          <w:u w:val="single"/>
        </w:rPr>
        <w:t xml:space="preserve">(3) A group of employees may not be refused entry into such plan or plans by reason of past or future health care costs or claim experience; </w:t>
      </w:r>
    </w:p>
    <w:p w14:paraId="3E21ED82" w14:textId="0BC70EAA" w:rsidR="00D3093D" w:rsidRPr="0016717E" w:rsidRDefault="00D3093D" w:rsidP="00D3093D">
      <w:pPr>
        <w:pStyle w:val="SectionBody"/>
        <w:rPr>
          <w:color w:val="auto"/>
          <w:u w:val="single"/>
        </w:rPr>
      </w:pPr>
      <w:r w:rsidRPr="0016717E">
        <w:rPr>
          <w:color w:val="auto"/>
          <w:u w:val="single"/>
        </w:rPr>
        <w:t xml:space="preserve">(4) Rates paid by the </w:t>
      </w:r>
      <w:r w:rsidR="009D03BE" w:rsidRPr="0016717E">
        <w:rPr>
          <w:color w:val="auto"/>
          <w:u w:val="single"/>
        </w:rPr>
        <w:t>s</w:t>
      </w:r>
      <w:r w:rsidRPr="0016717E">
        <w:rPr>
          <w:color w:val="auto"/>
          <w:u w:val="single"/>
        </w:rPr>
        <w:t xml:space="preserve">tate for its employees under this section are not adversely affected by this subdivision; </w:t>
      </w:r>
    </w:p>
    <w:p w14:paraId="36A157BD" w14:textId="624C6B46" w:rsidR="00D3093D" w:rsidRPr="0016717E" w:rsidRDefault="00D3093D" w:rsidP="00D3093D">
      <w:pPr>
        <w:pStyle w:val="SectionBody"/>
        <w:rPr>
          <w:color w:val="auto"/>
          <w:u w:val="single"/>
        </w:rPr>
      </w:pPr>
      <w:r w:rsidRPr="0016717E">
        <w:rPr>
          <w:color w:val="auto"/>
          <w:u w:val="single"/>
        </w:rPr>
        <w:t xml:space="preserve">(5) Administrative costs attributable to coverage provided pursuant to this section may not be paid by the </w:t>
      </w:r>
      <w:r w:rsidR="009D03BE" w:rsidRPr="0016717E">
        <w:rPr>
          <w:color w:val="auto"/>
          <w:u w:val="single"/>
        </w:rPr>
        <w:t>s</w:t>
      </w:r>
      <w:r w:rsidRPr="0016717E">
        <w:rPr>
          <w:color w:val="auto"/>
          <w:u w:val="single"/>
        </w:rPr>
        <w:t xml:space="preserve">tate; and </w:t>
      </w:r>
    </w:p>
    <w:p w14:paraId="66AFBA62" w14:textId="77777777" w:rsidR="00D3093D" w:rsidRPr="0016717E" w:rsidRDefault="00D3093D" w:rsidP="00D3093D">
      <w:pPr>
        <w:pStyle w:val="SectionBody"/>
        <w:rPr>
          <w:color w:val="auto"/>
          <w:u w:val="single"/>
        </w:rPr>
      </w:pPr>
      <w:r w:rsidRPr="0016717E">
        <w:rPr>
          <w:color w:val="auto"/>
          <w:u w:val="single"/>
        </w:rPr>
        <w:t xml:space="preserve">(6) Participation in such plan or plans for a minimum of three years. </w:t>
      </w:r>
    </w:p>
    <w:p w14:paraId="6A7DF52A" w14:textId="01610030" w:rsidR="008736AA" w:rsidRPr="0016717E" w:rsidRDefault="00D3093D" w:rsidP="00473155">
      <w:pPr>
        <w:pStyle w:val="SectionBody"/>
        <w:rPr>
          <w:color w:val="auto"/>
          <w:u w:val="single"/>
        </w:rPr>
      </w:pPr>
      <w:r w:rsidRPr="0016717E">
        <w:rPr>
          <w:color w:val="auto"/>
          <w:u w:val="single"/>
        </w:rPr>
        <w:t xml:space="preserve">(b) Participation in group hospitalization and medical and surgical insurance plan or plans procured under this article in no way constitutes an employer-employee relationship between the employee of a private employer and the </w:t>
      </w:r>
      <w:r w:rsidR="009D03BE" w:rsidRPr="0016717E">
        <w:rPr>
          <w:color w:val="auto"/>
          <w:u w:val="single"/>
        </w:rPr>
        <w:t>s</w:t>
      </w:r>
      <w:r w:rsidRPr="0016717E">
        <w:rPr>
          <w:color w:val="auto"/>
          <w:u w:val="single"/>
        </w:rPr>
        <w:t xml:space="preserve">tate nor does it entitle the employee, the employer, or both, to any other rights, privileges, protections, benefits, or any combination thereof afforded to the </w:t>
      </w:r>
      <w:r w:rsidR="009D03BE" w:rsidRPr="0016717E">
        <w:rPr>
          <w:color w:val="auto"/>
          <w:u w:val="single"/>
        </w:rPr>
        <w:t>s</w:t>
      </w:r>
      <w:r w:rsidRPr="0016717E">
        <w:rPr>
          <w:color w:val="auto"/>
          <w:u w:val="single"/>
        </w:rPr>
        <w:t xml:space="preserve">tate, its political subdivisions, or the employees of the </w:t>
      </w:r>
      <w:r w:rsidR="009D03BE" w:rsidRPr="0016717E">
        <w:rPr>
          <w:color w:val="auto"/>
          <w:u w:val="single"/>
        </w:rPr>
        <w:t>s</w:t>
      </w:r>
      <w:r w:rsidRPr="0016717E">
        <w:rPr>
          <w:color w:val="auto"/>
          <w:u w:val="single"/>
        </w:rPr>
        <w:t>tate or its political subdivisions.</w:t>
      </w:r>
    </w:p>
    <w:p w14:paraId="7D333A19" w14:textId="77777777" w:rsidR="00C33014" w:rsidRPr="0016717E" w:rsidRDefault="00C33014" w:rsidP="00CC1F3B">
      <w:pPr>
        <w:pStyle w:val="Note"/>
        <w:rPr>
          <w:color w:val="auto"/>
        </w:rPr>
      </w:pPr>
    </w:p>
    <w:p w14:paraId="3148DC3A" w14:textId="1CF9A65E" w:rsidR="006865E9" w:rsidRPr="0016717E" w:rsidRDefault="00CF1DCA" w:rsidP="00CC1F3B">
      <w:pPr>
        <w:pStyle w:val="Note"/>
        <w:rPr>
          <w:color w:val="auto"/>
        </w:rPr>
      </w:pPr>
      <w:r w:rsidRPr="0016717E">
        <w:rPr>
          <w:color w:val="auto"/>
        </w:rPr>
        <w:t xml:space="preserve">NOTE: </w:t>
      </w:r>
      <w:r w:rsidR="00473155" w:rsidRPr="0016717E">
        <w:rPr>
          <w:color w:val="auto"/>
        </w:rPr>
        <w:t>The purpose of this bill is to authorize small employers to buy-in to PEIA.</w:t>
      </w:r>
    </w:p>
    <w:p w14:paraId="53355C62" w14:textId="3D22A229" w:rsidR="006865E9" w:rsidRPr="0016717E" w:rsidRDefault="00AE48A0" w:rsidP="00CC1F3B">
      <w:pPr>
        <w:pStyle w:val="Note"/>
        <w:rPr>
          <w:color w:val="auto"/>
        </w:rPr>
      </w:pPr>
      <w:r w:rsidRPr="0016717E">
        <w:rPr>
          <w:color w:val="auto"/>
        </w:rPr>
        <w:t>Strike-throughs indicate language that would be stricken from a heading or the present law</w:t>
      </w:r>
      <w:r w:rsidR="00E742A7" w:rsidRPr="0016717E">
        <w:rPr>
          <w:color w:val="auto"/>
        </w:rPr>
        <w:t>,</w:t>
      </w:r>
      <w:r w:rsidRPr="0016717E">
        <w:rPr>
          <w:color w:val="auto"/>
        </w:rPr>
        <w:t xml:space="preserve"> and underscoring indicates new language that would be added.</w:t>
      </w:r>
    </w:p>
    <w:sectPr w:rsidR="006865E9" w:rsidRPr="0016717E" w:rsidSect="00F535E9">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C0F44" w14:textId="77777777" w:rsidR="005A3DAE" w:rsidRPr="00B844FE" w:rsidRDefault="005A3DAE" w:rsidP="00B844FE">
      <w:r>
        <w:separator/>
      </w:r>
    </w:p>
  </w:endnote>
  <w:endnote w:type="continuationSeparator" w:id="0">
    <w:p w14:paraId="27F0A78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626223"/>
      <w:docPartObj>
        <w:docPartGallery w:val="Page Numbers (Bottom of Page)"/>
        <w:docPartUnique/>
      </w:docPartObj>
    </w:sdtPr>
    <w:sdtEndPr>
      <w:rPr>
        <w:noProof/>
      </w:rPr>
    </w:sdtEndPr>
    <w:sdtContent>
      <w:p w14:paraId="1FF0C056" w14:textId="1FF9E23F" w:rsidR="00AF2CE4" w:rsidRDefault="00AF2CE4" w:rsidP="00AF2CE4">
        <w:pPr>
          <w:pStyle w:val="Footer"/>
          <w:jc w:val="center"/>
        </w:pPr>
        <w:r>
          <w:fldChar w:fldCharType="begin"/>
        </w:r>
        <w:r>
          <w:instrText xml:space="preserve"> PAGE   \* MERGEFORMAT </w:instrText>
        </w:r>
        <w:r>
          <w:fldChar w:fldCharType="separate"/>
        </w:r>
        <w:r w:rsidR="00775809">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779137"/>
      <w:docPartObj>
        <w:docPartGallery w:val="Page Numbers (Bottom of Page)"/>
        <w:docPartUnique/>
      </w:docPartObj>
    </w:sdtPr>
    <w:sdtEndPr/>
    <w:sdtContent>
      <w:p w14:paraId="1BB4F6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71499A"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5522"/>
      <w:docPartObj>
        <w:docPartGallery w:val="Page Numbers (Bottom of Page)"/>
        <w:docPartUnique/>
      </w:docPartObj>
    </w:sdtPr>
    <w:sdtEndPr>
      <w:rPr>
        <w:noProof/>
      </w:rPr>
    </w:sdtEndPr>
    <w:sdtContent>
      <w:p w14:paraId="7F361728" w14:textId="78A2D8AE" w:rsidR="002A0269" w:rsidRDefault="00DF199D" w:rsidP="00DF199D">
        <w:pPr>
          <w:pStyle w:val="Footer"/>
          <w:jc w:val="center"/>
        </w:pPr>
        <w:r>
          <w:fldChar w:fldCharType="begin"/>
        </w:r>
        <w:r>
          <w:instrText xml:space="preserve"> PAGE   \* MERGEFORMAT </w:instrText>
        </w:r>
        <w:r>
          <w:fldChar w:fldCharType="separate"/>
        </w:r>
        <w:r w:rsidR="0077580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85173" w14:textId="77777777" w:rsidR="005A3DAE" w:rsidRPr="00B844FE" w:rsidRDefault="005A3DAE" w:rsidP="00B844FE">
      <w:r>
        <w:separator/>
      </w:r>
    </w:p>
  </w:footnote>
  <w:footnote w:type="continuationSeparator" w:id="0">
    <w:p w14:paraId="5991121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71BD" w14:textId="7A6EB04A" w:rsidR="00AF2CE4" w:rsidRPr="00C33014" w:rsidRDefault="00AF2CE4" w:rsidP="00AF2CE4">
    <w:pPr>
      <w:pStyle w:val="HeaderStyle"/>
    </w:pPr>
    <w:proofErr w:type="spellStart"/>
    <w:r>
      <w:t>Intr</w:t>
    </w:r>
    <w:proofErr w:type="spellEnd"/>
    <w:r>
      <w:t xml:space="preserve"> </w:t>
    </w:r>
    <w:r w:rsidR="00F535E9">
      <w:t>SB</w:t>
    </w:r>
    <w:r w:rsidR="00E530FE">
      <w:t xml:space="preserve"> 259</w:t>
    </w:r>
    <w:r w:rsidRPr="002A0269">
      <w:ptab w:relativeTo="margin" w:alignment="center" w:leader="none"/>
    </w:r>
    <w:r>
      <w:tab/>
    </w:r>
    <w:sdt>
      <w:sdtPr>
        <w:alias w:val="CBD Number"/>
        <w:tag w:val="CBD Number"/>
        <w:id w:val="-534344024"/>
        <w:text/>
      </w:sdtPr>
      <w:sdtEndPr/>
      <w:sdtContent>
        <w:proofErr w:type="spellStart"/>
        <w:r>
          <w:t>2021R2536</w:t>
        </w:r>
        <w:proofErr w:type="spellEnd"/>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2B84" w14:textId="33EBF507" w:rsidR="003D4D6B" w:rsidRPr="002A0269" w:rsidRDefault="003D4D6B" w:rsidP="003D4D6B">
    <w:pPr>
      <w:pStyle w:val="HeaderStyle"/>
    </w:pPr>
    <w:r w:rsidRPr="002A0269">
      <w:ptab w:relativeTo="margin" w:alignment="center" w:leader="none"/>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5C348" w14:textId="268F7148" w:rsidR="002A0269" w:rsidRPr="00B844FE" w:rsidRDefault="00775809">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AE2B" w14:textId="6ECE19F9" w:rsidR="00C33014" w:rsidRPr="00C33014" w:rsidRDefault="00AE48A0" w:rsidP="000573A9">
    <w:pPr>
      <w:pStyle w:val="HeaderStyle"/>
    </w:pPr>
    <w:proofErr w:type="spellStart"/>
    <w:r>
      <w:t>I</w:t>
    </w:r>
    <w:r w:rsidR="001A66B7">
      <w:t>ntr</w:t>
    </w:r>
    <w:proofErr w:type="spellEnd"/>
    <w:r w:rsidR="001A66B7">
      <w:t xml:space="preserve"> </w:t>
    </w:r>
    <w:r w:rsidR="00E530FE">
      <w:t>SB 259</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proofErr w:type="spellStart"/>
        <w:r w:rsidR="00D3093D">
          <w:t>2021R2536</w:t>
        </w:r>
        <w:proofErr w:type="spellEnd"/>
      </w:sdtContent>
    </w:sdt>
  </w:p>
  <w:p w14:paraId="2C0183EF"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607F" w14:textId="6F608107" w:rsidR="002A0269" w:rsidRPr="002A0269" w:rsidRDefault="00775809" w:rsidP="00CC1F3B">
    <w:pPr>
      <w:pStyle w:val="HeaderStyle"/>
    </w:pPr>
    <w:sdt>
      <w:sdtPr>
        <w:tag w:val="BNumWH"/>
        <w:id w:val="-1890952866"/>
        <w:placeholder>
          <w:docPart w:val="4D224E88B027497D9737FFC55A7A86D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3093D">
          <w:t>2021R2536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DC"/>
    <w:rsid w:val="0000526A"/>
    <w:rsid w:val="00050566"/>
    <w:rsid w:val="000573A9"/>
    <w:rsid w:val="00085D22"/>
    <w:rsid w:val="000C5C77"/>
    <w:rsid w:val="000E3912"/>
    <w:rsid w:val="0010070F"/>
    <w:rsid w:val="00111AE0"/>
    <w:rsid w:val="0015112E"/>
    <w:rsid w:val="00151E20"/>
    <w:rsid w:val="001552E7"/>
    <w:rsid w:val="001566B4"/>
    <w:rsid w:val="0016717E"/>
    <w:rsid w:val="001A66B7"/>
    <w:rsid w:val="001C279E"/>
    <w:rsid w:val="001D459E"/>
    <w:rsid w:val="0027011C"/>
    <w:rsid w:val="00274200"/>
    <w:rsid w:val="00275740"/>
    <w:rsid w:val="002A0269"/>
    <w:rsid w:val="00303684"/>
    <w:rsid w:val="003143F5"/>
    <w:rsid w:val="00314854"/>
    <w:rsid w:val="00394191"/>
    <w:rsid w:val="003C51CD"/>
    <w:rsid w:val="003D4D6B"/>
    <w:rsid w:val="003E6983"/>
    <w:rsid w:val="004368E0"/>
    <w:rsid w:val="00473155"/>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75809"/>
    <w:rsid w:val="007A5259"/>
    <w:rsid w:val="007A7081"/>
    <w:rsid w:val="007F1CF5"/>
    <w:rsid w:val="00834EDE"/>
    <w:rsid w:val="008736AA"/>
    <w:rsid w:val="008D275D"/>
    <w:rsid w:val="00921DBB"/>
    <w:rsid w:val="00980327"/>
    <w:rsid w:val="00986478"/>
    <w:rsid w:val="009962F5"/>
    <w:rsid w:val="009B5557"/>
    <w:rsid w:val="009D03BE"/>
    <w:rsid w:val="009F1067"/>
    <w:rsid w:val="00A31E01"/>
    <w:rsid w:val="00A527AD"/>
    <w:rsid w:val="00A54FD6"/>
    <w:rsid w:val="00A718CF"/>
    <w:rsid w:val="00AE48A0"/>
    <w:rsid w:val="00AE61BE"/>
    <w:rsid w:val="00AF2CE4"/>
    <w:rsid w:val="00B16F25"/>
    <w:rsid w:val="00B204E9"/>
    <w:rsid w:val="00B24422"/>
    <w:rsid w:val="00B66B81"/>
    <w:rsid w:val="00B80C20"/>
    <w:rsid w:val="00B844FE"/>
    <w:rsid w:val="00B86B4F"/>
    <w:rsid w:val="00BA1F84"/>
    <w:rsid w:val="00BC562B"/>
    <w:rsid w:val="00BE3E44"/>
    <w:rsid w:val="00C33014"/>
    <w:rsid w:val="00C33434"/>
    <w:rsid w:val="00C34869"/>
    <w:rsid w:val="00C42EB6"/>
    <w:rsid w:val="00C766D7"/>
    <w:rsid w:val="00C85096"/>
    <w:rsid w:val="00CB1ADC"/>
    <w:rsid w:val="00CB20EF"/>
    <w:rsid w:val="00CC1F3B"/>
    <w:rsid w:val="00CD12CB"/>
    <w:rsid w:val="00CD36CF"/>
    <w:rsid w:val="00CF1DCA"/>
    <w:rsid w:val="00D3093D"/>
    <w:rsid w:val="00D579FC"/>
    <w:rsid w:val="00D80AEB"/>
    <w:rsid w:val="00D81C16"/>
    <w:rsid w:val="00DE526B"/>
    <w:rsid w:val="00DF199D"/>
    <w:rsid w:val="00E01542"/>
    <w:rsid w:val="00E365F1"/>
    <w:rsid w:val="00E530FE"/>
    <w:rsid w:val="00E62F48"/>
    <w:rsid w:val="00E742A7"/>
    <w:rsid w:val="00E831B3"/>
    <w:rsid w:val="00E95FBC"/>
    <w:rsid w:val="00EE70CB"/>
    <w:rsid w:val="00F23611"/>
    <w:rsid w:val="00F41CA2"/>
    <w:rsid w:val="00F443C0"/>
    <w:rsid w:val="00F535E9"/>
    <w:rsid w:val="00F5743B"/>
    <w:rsid w:val="00F62EFB"/>
    <w:rsid w:val="00F939A4"/>
    <w:rsid w:val="00F958B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D9C127"/>
  <w15:chartTrackingRefBased/>
  <w15:docId w15:val="{F13A1B6E-2FA8-4738-B242-3251C6AA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5">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3093D"/>
    <w:rPr>
      <w:rFonts w:eastAsia="Calibri"/>
      <w:b/>
      <w:caps/>
      <w:color w:val="000000"/>
      <w:sz w:val="24"/>
    </w:rPr>
  </w:style>
  <w:style w:type="character" w:customStyle="1" w:styleId="SectionHeadingChar">
    <w:name w:val="Section Heading Char"/>
    <w:link w:val="SectionHeading"/>
    <w:rsid w:val="00D3093D"/>
    <w:rPr>
      <w:rFonts w:eastAsia="Calibri"/>
      <w:b/>
      <w:color w:val="000000"/>
    </w:rPr>
  </w:style>
  <w:style w:type="character" w:customStyle="1" w:styleId="SectionBodyChar">
    <w:name w:val="Section Body Char"/>
    <w:link w:val="SectionBody"/>
    <w:rsid w:val="00D3093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191A3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191A3E" w:rsidP="00191A3E">
          <w:pPr>
            <w:pStyle w:val="7CD44D7481684EFBB2169CAE07E0AB863"/>
          </w:pPr>
          <w:r>
            <w:rPr>
              <w:color w:val="auto"/>
            </w:rPr>
            <w:t>259</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D224E88B027497D9737FFC55A7A86D9"/>
        <w:category>
          <w:name w:val="General"/>
          <w:gallery w:val="placeholder"/>
        </w:category>
        <w:types>
          <w:type w:val="bbPlcHdr"/>
        </w:types>
        <w:behaviors>
          <w:behavior w:val="content"/>
        </w:behaviors>
        <w:guid w:val="{8F7449FB-B378-4936-9701-007510DA496A}"/>
      </w:docPartPr>
      <w:docPartBody>
        <w:p w:rsidR="0094173C" w:rsidRDefault="009417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61"/>
    <w:rsid w:val="00075561"/>
    <w:rsid w:val="00191A3E"/>
    <w:rsid w:val="002D080B"/>
    <w:rsid w:val="00791900"/>
    <w:rsid w:val="0094173C"/>
    <w:rsid w:val="00BE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91A3E"/>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BE4E40"/>
    <w:pPr>
      <w:suppressLineNumbers/>
      <w:spacing w:after="360" w:line="480" w:lineRule="auto"/>
      <w:jc w:val="center"/>
    </w:pPr>
    <w:rPr>
      <w:rFonts w:ascii="Arial" w:eastAsia="Calibri" w:hAnsi="Arial"/>
      <w:b/>
      <w:color w:val="000000"/>
      <w:sz w:val="44"/>
    </w:rPr>
  </w:style>
  <w:style w:type="paragraph" w:customStyle="1" w:styleId="7CD44D7481684EFBB2169CAE07E0AB862">
    <w:name w:val="7CD44D7481684EFBB2169CAE07E0AB862"/>
    <w:rsid w:val="00BE4E40"/>
    <w:pPr>
      <w:suppressLineNumbers/>
      <w:spacing w:after="360" w:line="480" w:lineRule="auto"/>
      <w:jc w:val="center"/>
    </w:pPr>
    <w:rPr>
      <w:rFonts w:ascii="Arial" w:eastAsia="Calibri" w:hAnsi="Arial"/>
      <w:b/>
      <w:color w:val="000000"/>
      <w:sz w:val="44"/>
    </w:rPr>
  </w:style>
  <w:style w:type="paragraph" w:customStyle="1" w:styleId="7CD44D7481684EFBB2169CAE07E0AB863">
    <w:name w:val="7CD44D7481684EFBB2169CAE07E0AB863"/>
    <w:rsid w:val="00191A3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20CE-23C1-46DB-8A74-EA3E7652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Lori Nichols</cp:lastModifiedBy>
  <cp:revision>11</cp:revision>
  <dcterms:created xsi:type="dcterms:W3CDTF">2021-02-09T20:48:00Z</dcterms:created>
  <dcterms:modified xsi:type="dcterms:W3CDTF">2021-02-11T22:08:00Z</dcterms:modified>
</cp:coreProperties>
</file>